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61A77" w14:textId="77777777" w:rsidR="007D7ABB" w:rsidRPr="007D7ABB" w:rsidRDefault="007D7ABB" w:rsidP="007D7ABB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textAlignment w:val="center"/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</w:pPr>
      <w:r w:rsidRPr="007D7ABB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Activity: Reviewing your school’s behavioural incident form</w:t>
      </w:r>
    </w:p>
    <w:p w14:paraId="17B211A3" w14:textId="77777777" w:rsidR="007D7ABB" w:rsidRPr="007D7ABB" w:rsidRDefault="007D7ABB" w:rsidP="007D7ABB">
      <w:pPr>
        <w:widowControl w:val="0"/>
        <w:suppressAutoHyphens/>
        <w:autoSpaceDE w:val="0"/>
        <w:autoSpaceDN w:val="0"/>
        <w:adjustRightInd w:val="0"/>
        <w:spacing w:after="170" w:line="32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 w:rsidRPr="007D7ABB">
        <w:rPr>
          <w:rFonts w:ascii="Calibri" w:hAnsi="Calibri" w:cs="BlissPro-Light"/>
          <w:color w:val="000000"/>
          <w:sz w:val="22"/>
          <w:szCs w:val="22"/>
          <w:lang w:val="en-US"/>
        </w:rPr>
        <w:t>Which of the nine contextual factors below does your school’s current incident form include? What changes to your incident form are needed to include all nine?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985"/>
        <w:gridCol w:w="1843"/>
      </w:tblGrid>
      <w:tr w:rsidR="00D2698C" w:rsidRPr="00D2698C" w14:paraId="29E23E62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FFFFFF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5B5BDB" w14:textId="77777777" w:rsidR="007D7ABB" w:rsidRPr="007D7ABB" w:rsidRDefault="007D7ABB" w:rsidP="00D2698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D7ABB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Contextual factors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FFFFFF"/>
              <w:bottom w:val="single" w:sz="5" w:space="0" w:color="EA6424"/>
              <w:right w:val="single" w:sz="5" w:space="0" w:color="FFFFFF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DF9888" w14:textId="77777777" w:rsidR="007D7ABB" w:rsidRPr="007D7ABB" w:rsidRDefault="007D7ABB" w:rsidP="00D2698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D7ABB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Yes</w:t>
            </w: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FFFFFF"/>
              <w:bottom w:val="single" w:sz="5" w:space="0" w:color="EA6424"/>
              <w:right w:val="single" w:sz="5" w:space="0" w:color="EA6424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EB672E" w14:textId="77777777" w:rsidR="007D7ABB" w:rsidRPr="007D7ABB" w:rsidRDefault="007D7ABB" w:rsidP="00D2698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D7ABB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No</w:t>
            </w:r>
          </w:p>
        </w:tc>
      </w:tr>
      <w:tr w:rsidR="00D2698C" w:rsidRPr="00D2698C" w14:paraId="3379D665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77FF3F1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Student name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BE4330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244BB9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2698C" w:rsidRPr="00D2698C" w14:paraId="123C69E6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422A087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Referring staff member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7551F5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D5E198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2698C" w:rsidRPr="00D2698C" w14:paraId="19665E73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B762C3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Date of incident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54B43F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93B3D3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2698C" w:rsidRPr="00D2698C" w14:paraId="2DFB14D7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7422F7B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Time of incident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244306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2BFFA4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2698C" w:rsidRPr="00D2698C" w14:paraId="7FD965D2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45B42EA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Location of incident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22D770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AFA1A8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2698C" w:rsidRPr="00D2698C" w14:paraId="64ACBFAE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224278B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Problem </w:t>
            </w:r>
            <w:proofErr w:type="spellStart"/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, including whether major or minor (third occurrence)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0DDBE2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B94584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2698C" w:rsidRPr="00D2698C" w14:paraId="0832A6E6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242512C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Others involved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30F274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D23471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2698C" w:rsidRPr="00D2698C" w14:paraId="117FE352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A3982D9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Possible motivation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5D88A3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4FABD5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2698C" w:rsidRPr="00D2698C" w14:paraId="7208EFDB" w14:textId="77777777" w:rsidTr="00D26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2408B91" w14:textId="77777777" w:rsidR="007D7ABB" w:rsidRPr="007D7ABB" w:rsidRDefault="007D7ABB" w:rsidP="007D7AB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D7AB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19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371E28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8CAE56" w14:textId="77777777" w:rsidR="007D7ABB" w:rsidRPr="007D7ABB" w:rsidRDefault="007D7ABB" w:rsidP="007D7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14A6B50A" w14:textId="632DA6DD" w:rsidR="00796DA7" w:rsidRPr="00D2698C" w:rsidRDefault="00796DA7" w:rsidP="005E39F0">
      <w:pPr>
        <w:rPr>
          <w:rFonts w:ascii="Calibri" w:hAnsi="Calibri"/>
        </w:rPr>
      </w:pPr>
    </w:p>
    <w:sectPr w:rsidR="00796DA7" w:rsidRPr="00D2698C" w:rsidSect="00E33D22">
      <w:headerReference w:type="default" r:id="rId7"/>
      <w:footerReference w:type="default" r:id="rId8"/>
      <w:pgSz w:w="12240" w:h="15840"/>
      <w:pgMar w:top="127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E33D22" w:rsidRDefault="00E33D22" w:rsidP="00EE5FEB">
      <w:r>
        <w:separator/>
      </w:r>
    </w:p>
  </w:endnote>
  <w:endnote w:type="continuationSeparator" w:id="0">
    <w:p w14:paraId="6B648C71" w14:textId="77777777" w:rsidR="00E33D22" w:rsidRDefault="00E33D22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Blis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Blis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64472F12" w:rsidR="00E33D22" w:rsidRPr="00CB76F2" w:rsidRDefault="00E33D22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 w:rsidR="007D7ABB">
      <w:rPr>
        <w:rFonts w:ascii="Calibri" w:hAnsi="Calibri" w:cs="BlissPro-Regular"/>
        <w:b/>
        <w:caps/>
        <w:color w:val="49B1C4"/>
        <w:sz w:val="18"/>
        <w:szCs w:val="18"/>
      </w:rPr>
      <w:t>8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 w:rsidR="007D7ABB">
      <w:rPr>
        <w:rFonts w:ascii="Calibri" w:hAnsi="Calibri" w:cs="BlissPro-Regular"/>
        <w:b/>
        <w:caps/>
        <w:color w:val="49B1C4"/>
        <w:sz w:val="18"/>
        <w:szCs w:val="18"/>
      </w:rPr>
      <w:t>monitoRing and evaluating</w:t>
    </w:r>
    <w:r>
      <w:rPr>
        <w:rFonts w:ascii="Calibri" w:hAnsi="Calibri" w:cs="BlissPro-Regular"/>
        <w:b/>
        <w:caps/>
        <w:color w:val="49B1C4"/>
        <w:sz w:val="18"/>
        <w:szCs w:val="18"/>
      </w:rPr>
      <w:t xml:space="preserve">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7D7ABB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6</w:t>
    </w:r>
  </w:p>
  <w:p w14:paraId="269F0202" w14:textId="77777777" w:rsidR="00E33D22" w:rsidRPr="00EE5FEB" w:rsidRDefault="00E33D22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E33D22" w:rsidRDefault="00E33D22" w:rsidP="00EE5FEB">
      <w:r>
        <w:separator/>
      </w:r>
    </w:p>
  </w:footnote>
  <w:footnote w:type="continuationSeparator" w:id="0">
    <w:p w14:paraId="15290524" w14:textId="77777777" w:rsidR="00E33D22" w:rsidRDefault="00E33D22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63870969" w:rsidR="00E33D22" w:rsidRPr="00CB76F2" w:rsidRDefault="00E33D22" w:rsidP="00E33D22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 w:rsidR="007D7ABB">
      <w:rPr>
        <w:rFonts w:ascii="Calibri" w:hAnsi="Calibri" w:cs="BlissPro-Regular"/>
        <w:caps/>
        <w:sz w:val="22"/>
        <w:szCs w:val="22"/>
      </w:rPr>
      <w:t>8</w:t>
    </w:r>
    <w:r w:rsidRPr="00C922CB">
      <w:rPr>
        <w:rFonts w:ascii="Calibri" w:hAnsi="Calibri" w:cs="BlissPro-Regular"/>
        <w:caps/>
        <w:sz w:val="22"/>
        <w:szCs w:val="22"/>
      </w:rPr>
      <w:t>.</w:t>
    </w:r>
    <w:r w:rsidR="007D7ABB">
      <w:rPr>
        <w:rFonts w:ascii="Calibri" w:hAnsi="Calibri" w:cs="BlissPro-Regular"/>
        <w:caps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1F5C3F"/>
    <w:rsid w:val="002D0B8D"/>
    <w:rsid w:val="005E39F0"/>
    <w:rsid w:val="00670C2E"/>
    <w:rsid w:val="00796DA7"/>
    <w:rsid w:val="007D7ABB"/>
    <w:rsid w:val="00940049"/>
    <w:rsid w:val="009D2A52"/>
    <w:rsid w:val="00B94346"/>
    <w:rsid w:val="00CB76F2"/>
    <w:rsid w:val="00CE393D"/>
    <w:rsid w:val="00D2698C"/>
    <w:rsid w:val="00E33D22"/>
    <w:rsid w:val="00E846BD"/>
    <w:rsid w:val="00E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Bullets2">
    <w:name w:val="Bullets2"/>
    <w:basedOn w:val="BULLETS"/>
    <w:uiPriority w:val="99"/>
    <w:rsid w:val="007D7ABB"/>
    <w:pPr>
      <w:tabs>
        <w:tab w:val="clear" w:pos="283"/>
      </w:tabs>
      <w:spacing w:before="11" w:after="240" w:line="280" w:lineRule="atLeast"/>
      <w:ind w:left="568" w:hanging="284"/>
    </w:pPr>
    <w:rPr>
      <w:rFonts w:ascii="Corbel" w:hAnsi="Corbel" w:cs="Corbel"/>
      <w:spacing w:val="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Bullets2">
    <w:name w:val="Bullets2"/>
    <w:basedOn w:val="BULLETS"/>
    <w:uiPriority w:val="99"/>
    <w:rsid w:val="007D7ABB"/>
    <w:pPr>
      <w:tabs>
        <w:tab w:val="clear" w:pos="283"/>
      </w:tabs>
      <w:spacing w:before="11" w:after="240" w:line="280" w:lineRule="atLeast"/>
      <w:ind w:left="568" w:hanging="284"/>
    </w:pPr>
    <w:rPr>
      <w:rFonts w:ascii="Corbel" w:hAnsi="Corbel" w:cs="Corbel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Macintosh Word</Application>
  <DocSecurity>0</DocSecurity>
  <Lines>3</Lines>
  <Paragraphs>1</Paragraphs>
  <ScaleCrop>false</ScaleCrop>
  <Company>Learning Media Limited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Jodi Wicksteed</cp:lastModifiedBy>
  <cp:revision>3</cp:revision>
  <dcterms:created xsi:type="dcterms:W3CDTF">2015-09-09T22:23:00Z</dcterms:created>
  <dcterms:modified xsi:type="dcterms:W3CDTF">2015-09-09T22:27:00Z</dcterms:modified>
</cp:coreProperties>
</file>